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17F57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217F57" w:rsidRPr="00217F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ББ басқару әдістері ж/е коучинг бойынша практикум</w:t>
      </w:r>
      <w:r w:rsidRPr="00217F57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-3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-2020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217F57" w:rsidRPr="009E2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ББ басқару әдістері ж/е коучинг бойынша практикум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217F57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2020-2021 оқу жылына  1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магистранттарға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217F57" w:rsidRDefault="00217F57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17F57">
        <w:rPr>
          <w:rFonts w:ascii="Times New Roman" w:hAnsi="Times New Roman"/>
          <w:sz w:val="24"/>
          <w:szCs w:val="24"/>
          <w:lang w:val="kk-KZ"/>
        </w:rPr>
        <w:t>Коучингтің  қалыптасуы мен дамуына ықпал еткен факторларды негіздеңіз.</w:t>
      </w:r>
    </w:p>
    <w:p w:rsidR="00217F57" w:rsidRPr="00217F57" w:rsidRDefault="00217F57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Коучингті  білім алушылардың  позициясын  қалыпт</w:t>
      </w:r>
      <w:r>
        <w:rPr>
          <w:rFonts w:ascii="Times New Roman" w:hAnsi="Times New Roman"/>
          <w:sz w:val="24"/>
          <w:szCs w:val="24"/>
          <w:lang w:val="kk-KZ"/>
        </w:rPr>
        <w:t>астыру құралы ретінде ашыңыз</w:t>
      </w:r>
      <w:r w:rsidRPr="004D5C7D">
        <w:rPr>
          <w:rFonts w:ascii="Times New Roman" w:hAnsi="Times New Roman"/>
          <w:sz w:val="24"/>
          <w:szCs w:val="24"/>
          <w:lang w:val="kk-KZ"/>
        </w:rPr>
        <w:t>.</w:t>
      </w:r>
    </w:p>
    <w:p w:rsidR="00217F57" w:rsidRPr="00217F57" w:rsidRDefault="00217F57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Коучингті  дамытудағы эмоциялық интеллект концепциясының рөлін сипаттаңыз.</w:t>
      </w:r>
    </w:p>
    <w:p w:rsidR="00217F57" w:rsidRPr="00217F57" w:rsidRDefault="00217F57" w:rsidP="00217F57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Педагог кадрлардың біліктілігін арттырудағы коучинг тәсілді енгізу ерекшеліктеріне сипаттама беріңіз.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«Команда» ұғымына  ғалымдардың берген анықтамаларын кесте түрінде көрсетіңіз.</w:t>
      </w:r>
      <w:r w:rsidR="00FA7D52"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17F57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Әлеуметтік ұйымның қызметкері ретінде командалық іс-әрекет ету жоспарын құрастырыңыз.</w:t>
      </w:r>
    </w:p>
    <w:p w:rsidR="00217F57" w:rsidRPr="00217F57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Ұйымның мақсаты мен міндеттерін құрастырудағы коучингтің артықшылығын түсіндіріңіз.</w:t>
      </w:r>
    </w:p>
    <w:p w:rsidR="00217F57" w:rsidRPr="00FA7D52" w:rsidRDefault="00217F57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5C7D">
        <w:rPr>
          <w:rFonts w:ascii="Times New Roman" w:hAnsi="Times New Roman"/>
          <w:sz w:val="24"/>
          <w:szCs w:val="24"/>
          <w:lang w:val="kk-KZ"/>
        </w:rPr>
        <w:t>Жоғары оқу орнындағы коучинг-тұғырды сипаттаңыз.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217F57" w:rsidTr="00A701B5">
        <w:tc>
          <w:tcPr>
            <w:tcW w:w="9606" w:type="dxa"/>
            <w:shd w:val="clear" w:color="auto" w:fill="auto"/>
          </w:tcPr>
          <w:p w:rsidR="00781D00" w:rsidRPr="00217F57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Коучингтің  ұйымдастырушылық  кеңес берудегі өзге технологиялардан айырмашылығына салыстырмалы талдау жасаңыз.</w:t>
            </w:r>
          </w:p>
          <w:p w:rsidR="00217F57" w:rsidRPr="00217F57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Мақсат қою, мақсатқа жету ұғымдарына талдау жасаңыз.</w:t>
            </w:r>
          </w:p>
          <w:p w:rsidR="00217F57" w:rsidRPr="00217F57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Ұйымның мақсаты мен міндеттерін құрастырудағы коучингтің артықшылығын түсіндіріңіз.</w:t>
            </w:r>
          </w:p>
          <w:p w:rsidR="00217F57" w:rsidRPr="00CA4718" w:rsidRDefault="00217F57" w:rsidP="00217F5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C7D">
              <w:rPr>
                <w:rFonts w:ascii="Times New Roman" w:hAnsi="Times New Roman"/>
                <w:sz w:val="24"/>
                <w:szCs w:val="24"/>
                <w:lang w:val="kk-KZ"/>
              </w:rPr>
              <w:t>Коуч-менеджер ретінде шешім қабылдауды қажет ететін жағдаяттар құрастырыңыз.</w:t>
            </w:r>
          </w:p>
        </w:tc>
        <w:bookmarkStart w:id="0" w:name="_GoBack"/>
        <w:bookmarkEnd w:id="0"/>
      </w:tr>
      <w:tr w:rsidR="00781D00" w:rsidRPr="00217F57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217F57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217F57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217F57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781D00" w:rsidRPr="00217F57" w:rsidRDefault="00781D00" w:rsidP="00781D00">
      <w:pPr>
        <w:rPr>
          <w:lang w:val="kk-KZ"/>
        </w:rPr>
      </w:pPr>
    </w:p>
    <w:p w:rsidR="00217F57" w:rsidRPr="00217F57" w:rsidRDefault="00217F57" w:rsidP="00217F5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F5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Великолепный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: как стать блестящим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коучем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на своем рабочем месте. -</w:t>
      </w:r>
      <w:proofErr w:type="gramStart"/>
      <w:r w:rsidRPr="00217F57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ИГ «Весь», 2011.</w:t>
      </w:r>
      <w:r w:rsidRPr="00217F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7F57" w:rsidRPr="00217F57" w:rsidRDefault="00217F57" w:rsidP="00217F57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Основы </w:t>
      </w:r>
      <w:proofErr w:type="spellStart"/>
      <w:proofErr w:type="gramStart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>коучинга</w:t>
      </w:r>
      <w:proofErr w:type="spellEnd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217F5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учеб. пособие / Т.А. Никитина, М.А. Шаталина.</w:t>
      </w:r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– </w:t>
      </w:r>
      <w:proofErr w:type="gram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Самара :</w:t>
      </w:r>
      <w:proofErr w:type="gram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</w:t>
      </w:r>
      <w:proofErr w:type="spell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гос. </w:t>
      </w:r>
      <w:proofErr w:type="spellStart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пед</w:t>
      </w:r>
      <w:proofErr w:type="spellEnd"/>
      <w:r w:rsidRPr="00217F5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ун-т, 2007. </w:t>
      </w:r>
    </w:p>
    <w:p w:rsidR="00217F57" w:rsidRPr="00217F57" w:rsidRDefault="00217F57" w:rsidP="00217F5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>Зиммерль</w:t>
      </w:r>
      <w:proofErr w:type="spellEnd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В., </w:t>
      </w:r>
      <w:proofErr w:type="spellStart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>Зиммерль</w:t>
      </w:r>
      <w:proofErr w:type="spellEnd"/>
      <w:r w:rsidRPr="00217F57">
        <w:rPr>
          <w:rFonts w:ascii="Times New Roman" w:eastAsia="Times New Roman" w:hAnsi="Times New Roman" w:cs="Times New Roman"/>
          <w:bCs/>
          <w:sz w:val="24"/>
          <w:szCs w:val="24"/>
        </w:rPr>
        <w:t xml:space="preserve"> К. 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t>Вперед, от ресурса к цели! / пер. с нем. И. Тара</w:t>
      </w:r>
      <w:r w:rsidRPr="00217F5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совой. </w:t>
      </w:r>
      <w:proofErr w:type="gramStart"/>
      <w:r w:rsidRPr="00217F57">
        <w:rPr>
          <w:rFonts w:ascii="Times New Roman" w:eastAsia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Вернера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</w:rPr>
        <w:t>Регена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</w:rPr>
        <w:t xml:space="preserve">, 2007. </w:t>
      </w:r>
    </w:p>
    <w:p w:rsidR="00217F57" w:rsidRPr="00217F57" w:rsidRDefault="00217F57" w:rsidP="00217F5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217F57">
        <w:rPr>
          <w:rFonts w:ascii="Times New Roman" w:hAnsi="Times New Roman" w:cs="Times New Roman"/>
          <w:bCs/>
          <w:sz w:val="24"/>
          <w:szCs w:val="24"/>
        </w:rPr>
        <w:t>Коучинг</w:t>
      </w:r>
      <w:proofErr w:type="spellEnd"/>
      <w:r w:rsidRPr="00217F57">
        <w:rPr>
          <w:rFonts w:ascii="Times New Roman" w:hAnsi="Times New Roman" w:cs="Times New Roman"/>
          <w:bCs/>
          <w:sz w:val="24"/>
          <w:szCs w:val="24"/>
        </w:rPr>
        <w:t xml:space="preserve">: руководство для тренера и менеджера </w:t>
      </w:r>
      <w:r w:rsidRPr="00217F57">
        <w:rPr>
          <w:rFonts w:ascii="Times New Roman" w:hAnsi="Times New Roman" w:cs="Times New Roman"/>
          <w:sz w:val="24"/>
          <w:szCs w:val="24"/>
        </w:rPr>
        <w:t xml:space="preserve">/ С. </w:t>
      </w:r>
      <w:proofErr w:type="spellStart"/>
      <w:r w:rsidRPr="00217F57">
        <w:rPr>
          <w:rFonts w:ascii="Times New Roman" w:hAnsi="Times New Roman" w:cs="Times New Roman"/>
          <w:sz w:val="24"/>
          <w:szCs w:val="24"/>
        </w:rPr>
        <w:t>Торп</w:t>
      </w:r>
      <w:proofErr w:type="spellEnd"/>
      <w:r w:rsidRPr="00217F57">
        <w:rPr>
          <w:rFonts w:ascii="Times New Roman" w:hAnsi="Times New Roman" w:cs="Times New Roman"/>
          <w:sz w:val="24"/>
          <w:szCs w:val="24"/>
        </w:rPr>
        <w:t xml:space="preserve">, </w:t>
      </w:r>
      <w:r w:rsidRPr="00217F57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</w:t>
      </w:r>
      <w:proofErr w:type="gramStart"/>
      <w:r w:rsidRPr="00217F57">
        <w:rPr>
          <w:rFonts w:ascii="Times New Roman" w:hAnsi="Times New Roman" w:cs="Times New Roman"/>
          <w:spacing w:val="-1"/>
          <w:sz w:val="24"/>
          <w:szCs w:val="24"/>
        </w:rPr>
        <w:t>СПб.:</w:t>
      </w:r>
      <w:proofErr w:type="gramEnd"/>
      <w:r w:rsidRPr="00217F57">
        <w:rPr>
          <w:rFonts w:ascii="Times New Roman" w:hAnsi="Times New Roman" w:cs="Times New Roman"/>
          <w:spacing w:val="-1"/>
          <w:sz w:val="24"/>
          <w:szCs w:val="24"/>
        </w:rPr>
        <w:t xml:space="preserve"> Питер, 2004. </w:t>
      </w:r>
    </w:p>
    <w:p w:rsidR="00217F57" w:rsidRPr="00217F57" w:rsidRDefault="00217F57" w:rsidP="00217F57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17F5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proofErr w:type="spellStart"/>
      <w:r w:rsidRPr="00217F57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217F57">
        <w:rPr>
          <w:rFonts w:ascii="Times New Roman" w:hAnsi="Times New Roman" w:cs="Times New Roman"/>
          <w:sz w:val="24"/>
          <w:szCs w:val="24"/>
        </w:rPr>
        <w:t xml:space="preserve"> от А до Я. Возможно все. -</w:t>
      </w:r>
      <w:proofErr w:type="gramStart"/>
      <w:r w:rsidRPr="00217F57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217F57">
        <w:rPr>
          <w:rFonts w:ascii="Times New Roman" w:hAnsi="Times New Roman" w:cs="Times New Roman"/>
          <w:sz w:val="24"/>
          <w:szCs w:val="24"/>
        </w:rPr>
        <w:t xml:space="preserve"> Издательство «Речь», 2004. </w:t>
      </w:r>
    </w:p>
    <w:p w:rsidR="0055067D" w:rsidRPr="00217F57" w:rsidRDefault="00217F57" w:rsidP="00217F57">
      <w:pPr>
        <w:rPr>
          <w:lang w:val="kk-KZ"/>
        </w:rPr>
      </w:pPr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.Т. Методология и методы педагогических исследований: учеб. пособие - </w:t>
      </w:r>
      <w:proofErr w:type="gramStart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Алматы :</w:t>
      </w:r>
      <w:proofErr w:type="gramEnd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ун-ті</w:t>
      </w:r>
      <w:proofErr w:type="spellEnd"/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2015. – 213</w:t>
      </w:r>
      <w:r w:rsidRPr="00217F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</w:t>
      </w:r>
    </w:p>
    <w:sectPr w:rsidR="0055067D" w:rsidRPr="0021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AAC"/>
    <w:multiLevelType w:val="hybridMultilevel"/>
    <w:tmpl w:val="2B50F912"/>
    <w:lvl w:ilvl="0" w:tplc="862A76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217F57"/>
    <w:rsid w:val="0055067D"/>
    <w:rsid w:val="007535BB"/>
    <w:rsid w:val="00781D00"/>
    <w:rsid w:val="00A370C9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2020-10-27T18:09:00Z</dcterms:created>
  <dcterms:modified xsi:type="dcterms:W3CDTF">2020-10-27T19:25:00Z</dcterms:modified>
</cp:coreProperties>
</file>